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B1F2" w14:textId="77777777" w:rsidR="00B56F59" w:rsidRPr="00B56F59" w:rsidRDefault="00B56F59" w:rsidP="00B56F5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56F59">
        <w:rPr>
          <w:rFonts w:ascii="Arial" w:hAnsi="Arial" w:cs="Arial"/>
          <w:b/>
          <w:bCs/>
          <w:sz w:val="28"/>
          <w:szCs w:val="28"/>
        </w:rPr>
        <w:t>A FIRENZE TORNA BTO E IL TURISMO CAMBIA TRIBÙ: L’AI RIDISEGNA IL MERCATO, LE PASSIONI DIVENTANO DESTINAZIONI</w:t>
      </w:r>
    </w:p>
    <w:p w14:paraId="6E369B0F" w14:textId="77777777" w:rsidR="00B56F59" w:rsidRPr="00B56F59" w:rsidRDefault="00B56F59" w:rsidP="00B56F5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8383708" w14:textId="77777777" w:rsidR="00B56F59" w:rsidRDefault="00B56F59" w:rsidP="00B56F5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B56F59">
        <w:rPr>
          <w:rFonts w:ascii="Arial" w:hAnsi="Arial" w:cs="Arial"/>
          <w:b/>
          <w:bCs/>
          <w:i/>
          <w:iCs/>
          <w:sz w:val="20"/>
          <w:szCs w:val="20"/>
        </w:rPr>
        <w:t xml:space="preserve">Il 10 e 11 novembre alla Stazione Leopolda la diciottesima edizione di BTO – Be Travel Onlife. </w:t>
      </w:r>
    </w:p>
    <w:p w14:paraId="39F29CCE" w14:textId="537B31F4" w:rsidR="00B56F59" w:rsidRPr="00B56F59" w:rsidRDefault="00B56F59" w:rsidP="00B56F5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B56F59">
        <w:rPr>
          <w:rFonts w:ascii="Arial" w:hAnsi="Arial" w:cs="Arial"/>
          <w:b/>
          <w:bCs/>
          <w:i/>
          <w:iCs/>
          <w:sz w:val="20"/>
          <w:szCs w:val="20"/>
        </w:rPr>
        <w:t>Dalle nuove ricerche di Amadeus ed Expedia ai confronti con Google, Booking.com e Netflix: l'intelligenza artificiale cambia il modo di viaggiare, ma il 64% dei turisti teme che gli algoritmi suggeriscano sempre le stesse mete.</w:t>
      </w:r>
    </w:p>
    <w:p w14:paraId="1E51CDFA" w14:textId="77777777" w:rsidR="00B56F59" w:rsidRPr="00B56F59" w:rsidRDefault="00B56F59" w:rsidP="00B56F59">
      <w:pPr>
        <w:jc w:val="center"/>
        <w:rPr>
          <w:rFonts w:ascii="Arial" w:hAnsi="Arial" w:cs="Arial"/>
          <w:sz w:val="20"/>
          <w:szCs w:val="20"/>
        </w:rPr>
      </w:pPr>
    </w:p>
    <w:p w14:paraId="2B766979" w14:textId="2AC776D5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i/>
          <w:iCs/>
          <w:sz w:val="20"/>
          <w:szCs w:val="20"/>
        </w:rPr>
        <w:t xml:space="preserve">Roma, 27 ottobre 2026 – </w:t>
      </w:r>
      <w:r w:rsidRPr="00B56F59">
        <w:rPr>
          <w:rFonts w:ascii="Arial" w:hAnsi="Arial" w:cs="Arial"/>
          <w:sz w:val="20"/>
          <w:szCs w:val="20"/>
        </w:rPr>
        <w:t xml:space="preserve">Chi guiderà il turismo di domani: gli algoritmi, le grandi piattaforme tecnologiche o le nuove comunità di viaggiatori? E come cambieranno le strategie delle destinazioni e delle imprese di fronte a un'intelligenza artificiale sempre più presente nella scelta e nell'acquisto dei viaggi? Sono alcune delle domande al centro di </w:t>
      </w:r>
      <w:r w:rsidRPr="00B56F59">
        <w:rPr>
          <w:rFonts w:ascii="Arial" w:hAnsi="Arial" w:cs="Arial"/>
          <w:b/>
          <w:bCs/>
          <w:sz w:val="20"/>
          <w:szCs w:val="20"/>
        </w:rPr>
        <w:t>BTO – Be Travel Onlife 2026</w:t>
      </w:r>
      <w:r w:rsidRPr="00B56F59">
        <w:rPr>
          <w:rFonts w:ascii="Arial" w:hAnsi="Arial" w:cs="Arial"/>
          <w:sz w:val="20"/>
          <w:szCs w:val="20"/>
        </w:rPr>
        <w:t xml:space="preserve">, che torna </w:t>
      </w:r>
      <w:r w:rsidRPr="00B56F59">
        <w:rPr>
          <w:rFonts w:ascii="Arial" w:hAnsi="Arial" w:cs="Arial"/>
          <w:b/>
          <w:bCs/>
          <w:sz w:val="20"/>
          <w:szCs w:val="20"/>
        </w:rPr>
        <w:t>il 10 e 11 novembre alla Stazione Leopolda di Firenze</w:t>
      </w:r>
      <w:r w:rsidRPr="00B56F59">
        <w:rPr>
          <w:rFonts w:ascii="Arial" w:hAnsi="Arial" w:cs="Arial"/>
          <w:sz w:val="20"/>
          <w:szCs w:val="20"/>
        </w:rPr>
        <w:t xml:space="preserve"> con la sua diciottesima edizione dedicata a </w:t>
      </w:r>
      <w:r w:rsidRPr="00B56F59">
        <w:rPr>
          <w:rFonts w:ascii="Arial" w:hAnsi="Arial" w:cs="Arial"/>
          <w:b/>
          <w:bCs/>
          <w:sz w:val="20"/>
          <w:szCs w:val="20"/>
        </w:rPr>
        <w:t>“Offbeat Tribes – Fuori dagli schemi, dentro nuove tribù: il turismo degli opposti nell'era dell'AI”</w:t>
      </w:r>
      <w:r w:rsidRPr="00B56F59">
        <w:rPr>
          <w:rFonts w:ascii="Arial" w:hAnsi="Arial" w:cs="Arial"/>
          <w:sz w:val="20"/>
          <w:szCs w:val="20"/>
        </w:rPr>
        <w:t>.</w:t>
      </w:r>
    </w:p>
    <w:p w14:paraId="7F72EE3F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78B90A3D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sz w:val="20"/>
          <w:szCs w:val="20"/>
        </w:rPr>
        <w:t xml:space="preserve">Promossa da </w:t>
      </w:r>
      <w:r w:rsidRPr="00B56F59">
        <w:rPr>
          <w:rFonts w:ascii="Arial" w:hAnsi="Arial" w:cs="Arial"/>
          <w:b/>
          <w:bCs/>
          <w:sz w:val="20"/>
          <w:szCs w:val="20"/>
        </w:rPr>
        <w:t>Regione Toscana e Camera di Commercio di Firenze</w:t>
      </w:r>
      <w:r w:rsidRPr="00B56F59">
        <w:rPr>
          <w:rFonts w:ascii="Arial" w:hAnsi="Arial" w:cs="Arial"/>
          <w:sz w:val="20"/>
          <w:szCs w:val="20"/>
        </w:rPr>
        <w:t xml:space="preserve">, organizzata da </w:t>
      </w:r>
      <w:r w:rsidRPr="00B56F59">
        <w:rPr>
          <w:rFonts w:ascii="Arial" w:hAnsi="Arial" w:cs="Arial"/>
          <w:b/>
          <w:bCs/>
          <w:sz w:val="20"/>
          <w:szCs w:val="20"/>
        </w:rPr>
        <w:t>Toscana Promozione Turistica, PromoFirenze e Fondazione Sistema Toscana</w:t>
      </w:r>
      <w:r w:rsidRPr="00B56F59">
        <w:rPr>
          <w:rFonts w:ascii="Arial" w:hAnsi="Arial" w:cs="Arial"/>
          <w:sz w:val="20"/>
          <w:szCs w:val="20"/>
        </w:rPr>
        <w:t xml:space="preserve">, la manifestazione riunirà imprese, istituzioni, ricercatori, piattaforme tecnologiche e destinazioni internazionali. Sotto la direzione scientifica di </w:t>
      </w:r>
      <w:r w:rsidRPr="00B56F59">
        <w:rPr>
          <w:rFonts w:ascii="Arial" w:hAnsi="Arial" w:cs="Arial"/>
          <w:b/>
          <w:bCs/>
          <w:sz w:val="20"/>
          <w:szCs w:val="20"/>
        </w:rPr>
        <w:t>Francesco Tapinassi</w:t>
      </w:r>
      <w:r w:rsidRPr="00B56F59">
        <w:rPr>
          <w:rFonts w:ascii="Arial" w:hAnsi="Arial" w:cs="Arial"/>
          <w:sz w:val="20"/>
          <w:szCs w:val="20"/>
        </w:rPr>
        <w:t xml:space="preserve">, BTO esplorerà un paradosso che sta trasformando il mercato: mentre gli algoritmi promettono viaggi sempre più personalizzati, le persone cercano esperienze autentiche e nuove forme di appartenenza, spesso costruite attorno a passioni e interessi comuni. Tra i protagonisti </w:t>
      </w:r>
      <w:r w:rsidRPr="00B56F59">
        <w:rPr>
          <w:rFonts w:ascii="Arial" w:hAnsi="Arial" w:cs="Arial"/>
          <w:b/>
          <w:bCs/>
          <w:sz w:val="20"/>
          <w:szCs w:val="20"/>
        </w:rPr>
        <w:t>Michel Maffesoli</w:t>
      </w:r>
      <w:r w:rsidRPr="00B56F59">
        <w:rPr>
          <w:rFonts w:ascii="Arial" w:hAnsi="Arial" w:cs="Arial"/>
          <w:sz w:val="20"/>
          <w:szCs w:val="20"/>
        </w:rPr>
        <w:t xml:space="preserve">, sociologo francese noto per i suoi studi sul neotribalismo, e </w:t>
      </w:r>
      <w:r w:rsidRPr="00B56F59">
        <w:rPr>
          <w:rFonts w:ascii="Arial" w:hAnsi="Arial" w:cs="Arial"/>
          <w:b/>
          <w:bCs/>
          <w:sz w:val="20"/>
          <w:szCs w:val="20"/>
        </w:rPr>
        <w:t>Anna Kirah</w:t>
      </w:r>
      <w:r w:rsidRPr="00B56F59">
        <w:rPr>
          <w:rFonts w:ascii="Arial" w:hAnsi="Arial" w:cs="Arial"/>
          <w:sz w:val="20"/>
          <w:szCs w:val="20"/>
        </w:rPr>
        <w:t>, esperta di antropologia applicata all'innovazione.</w:t>
      </w:r>
    </w:p>
    <w:p w14:paraId="087AE31E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6DCACAB5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sz w:val="20"/>
          <w:szCs w:val="20"/>
        </w:rPr>
        <w:t>A raccontare quanto rapidamente stia cambiando il rapporto tra viaggiatori e tecnologia sono anche i dati di Tailored Horizons, la nuova ricerca di Amadeus che sarà presentata a BTO.</w:t>
      </w:r>
      <w:r w:rsidRPr="00B56F59">
        <w:rPr>
          <w:rFonts w:ascii="Arial" w:hAnsi="Arial" w:cs="Arial"/>
          <w:sz w:val="20"/>
          <w:szCs w:val="20"/>
        </w:rPr>
        <w:t xml:space="preserve"> Il 74% dei viaggiatori utilizza già l'intelligenza artificiale per pianificare i propri viaggi, ma il 64% ritiene che questi strumenti tendano a suggerire sempre le stesse destinazioni tradizionali. Il 76% si fida dell'AI per cercare opzioni di viaggio e il 73% per costruire itinerari, ma la percentuale scende al 44% quando si tratta di autorizzare acquisti e transazioni economiche. È il cosiddetto </w:t>
      </w:r>
      <w:r w:rsidRPr="00B56F59">
        <w:rPr>
          <w:rFonts w:ascii="Arial" w:hAnsi="Arial" w:cs="Arial"/>
          <w:i/>
          <w:iCs/>
          <w:sz w:val="20"/>
          <w:szCs w:val="20"/>
        </w:rPr>
        <w:t>Spending Trust Gap</w:t>
      </w:r>
      <w:r w:rsidRPr="00B56F59">
        <w:rPr>
          <w:rFonts w:ascii="Arial" w:hAnsi="Arial" w:cs="Arial"/>
          <w:sz w:val="20"/>
          <w:szCs w:val="20"/>
        </w:rPr>
        <w:t>: una distanza tra la fiducia nei suggerimenti tecnologici e la disponibilità ad affidare agli algoritmi le proprie decisioni di spesa. E mentre il 65% si dichiara interessato a completare prenotazioni attraverso assistenti virtuali, l'89% continua a verificare le raccomandazioni consultando altri siti prima di acquistare.</w:t>
      </w:r>
    </w:p>
    <w:p w14:paraId="3D6C32F4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17CF6809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sz w:val="20"/>
          <w:szCs w:val="20"/>
        </w:rPr>
        <w:t>Cambiano anche le ragioni che spingono a partire.</w:t>
      </w:r>
      <w:r w:rsidRPr="00B56F59">
        <w:rPr>
          <w:rFonts w:ascii="Arial" w:hAnsi="Arial" w:cs="Arial"/>
          <w:sz w:val="20"/>
          <w:szCs w:val="20"/>
        </w:rPr>
        <w:t xml:space="preserve"> Secondo </w:t>
      </w:r>
      <w:r w:rsidRPr="00B56F59">
        <w:rPr>
          <w:rFonts w:ascii="Arial" w:hAnsi="Arial" w:cs="Arial"/>
          <w:i/>
          <w:iCs/>
          <w:sz w:val="20"/>
          <w:szCs w:val="20"/>
        </w:rPr>
        <w:t>Unpack ’27</w:t>
      </w:r>
      <w:r w:rsidRPr="00B56F59">
        <w:rPr>
          <w:rFonts w:ascii="Arial" w:hAnsi="Arial" w:cs="Arial"/>
          <w:sz w:val="20"/>
          <w:szCs w:val="20"/>
        </w:rPr>
        <w:t xml:space="preserve"> di Expedia Group, nella ricerca Vrbo dedicata agli </w:t>
      </w:r>
      <w:r w:rsidRPr="00B56F59">
        <w:rPr>
          <w:rFonts w:ascii="Arial" w:hAnsi="Arial" w:cs="Arial"/>
          <w:i/>
          <w:iCs/>
          <w:sz w:val="20"/>
          <w:szCs w:val="20"/>
        </w:rPr>
        <w:t>Hobby Hubs</w:t>
      </w:r>
      <w:r w:rsidRPr="00B56F59">
        <w:rPr>
          <w:rFonts w:ascii="Arial" w:hAnsi="Arial" w:cs="Arial"/>
          <w:sz w:val="20"/>
          <w:szCs w:val="20"/>
        </w:rPr>
        <w:t>, condotta su 10.000 adulti di sette Paesi che hanno soggiornato in una casa vacanza, il 68% degli intervistati si dichiara propenso a organizzare nel 2027 un viaggio attorno a un hobby, percentuale che sale al 79% fra Gen Z e Millennials. Il 41% indica tra le motivazioni la possibilità di trascorrere tempo con persone che condividono gli stessi interessi. Non sempre, dunque, si sceglie prima una destinazione: spesso sono passioni, relazioni e comunità a orientare il viaggio.</w:t>
      </w:r>
    </w:p>
    <w:p w14:paraId="37DD64B0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0AD6D280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sz w:val="20"/>
          <w:szCs w:val="20"/>
        </w:rPr>
        <w:t>Nuove anticipazioni di Expedia, che saranno approfondite a BTO nel confronto con Booking.com,</w:t>
      </w:r>
      <w:r w:rsidRPr="00B56F59">
        <w:rPr>
          <w:rFonts w:ascii="Arial" w:hAnsi="Arial" w:cs="Arial"/>
          <w:sz w:val="20"/>
          <w:szCs w:val="20"/>
        </w:rPr>
        <w:t xml:space="preserve"> aggiungono ulteriori elementi a questa trasformazione. L'81% dei viaggiatori Gen Z e Millennial pianifica vacanze ispirate da contenuti visti sullo schermo, mentre il 71% dei viaggiatori è influenzato dai video. L'intelligenza artificiale viene utilizzata dal 53% per farsi suggerire dove andare e dal 40% per costruire itinerari completi, ma il 66% non le affiderebbe la prenotazione, soprattutto per questioni di controllo, privacy e responsabilità. I risultati raccontano un mercato nel quale la tecnologia guadagna terreno nell'ispirazione e nella pianificazione, mentre la decisione d'acquisto rimane un passaggio più delicato.</w:t>
      </w:r>
    </w:p>
    <w:p w14:paraId="35A1E750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1D3B6845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4D103552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sz w:val="20"/>
          <w:szCs w:val="20"/>
        </w:rPr>
        <w:t>Destination</w:t>
      </w:r>
      <w:r w:rsidRPr="00B56F59">
        <w:rPr>
          <w:rFonts w:ascii="Arial" w:hAnsi="Arial" w:cs="Arial"/>
          <w:sz w:val="20"/>
          <w:szCs w:val="20"/>
        </w:rPr>
        <w:t xml:space="preserve">, a cura di </w:t>
      </w:r>
      <w:r w:rsidRPr="00B56F59">
        <w:rPr>
          <w:rFonts w:ascii="Arial" w:hAnsi="Arial" w:cs="Arial"/>
          <w:b/>
          <w:bCs/>
          <w:sz w:val="20"/>
          <w:szCs w:val="20"/>
        </w:rPr>
        <w:t>Emma Taveri</w:t>
      </w:r>
      <w:r w:rsidRPr="00B56F59">
        <w:rPr>
          <w:rFonts w:ascii="Arial" w:hAnsi="Arial" w:cs="Arial"/>
          <w:sz w:val="20"/>
          <w:szCs w:val="20"/>
        </w:rPr>
        <w:t xml:space="preserve">, mette in discussione il modo tradizionale di promuovere i territori. Se i viaggiatori scelgono sempre più spesso in base a passioni e appartenenze, anche le destinazioni devono ripensare le proprie strategie. Dal modello di sostenibilità CopenPay a Copenaghen alla capacità di Tulsa Remote di attrarre nuovi residenti, fino alle comunità di viaggio di WeRoad e all'influenza delle serie Netflix, BTO analizzerà come trasformare l'interesse per un luogo in valore duraturo. Sul fronte dell'innovazione, il progetto </w:t>
      </w:r>
      <w:r w:rsidRPr="00B56F59">
        <w:rPr>
          <w:rFonts w:ascii="Arial" w:hAnsi="Arial" w:cs="Arial"/>
          <w:b/>
          <w:bCs/>
          <w:sz w:val="20"/>
          <w:szCs w:val="20"/>
        </w:rPr>
        <w:t>Tourism Contents for Artificial Intelligence (TC4AI)</w:t>
      </w:r>
      <w:r w:rsidRPr="00B56F59">
        <w:rPr>
          <w:rFonts w:ascii="Arial" w:hAnsi="Arial" w:cs="Arial"/>
          <w:sz w:val="20"/>
          <w:szCs w:val="20"/>
        </w:rPr>
        <w:t>, sviluppato con la collaborazione scientifica dell'Università IULM, affronterà una sfida decisiva: rendere il patrimonio informativo delle destinazioni riconoscibile e utilizzabile dall'intelligenza artificiale.</w:t>
      </w:r>
    </w:p>
    <w:p w14:paraId="454671B8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01DA7A83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sz w:val="20"/>
          <w:szCs w:val="20"/>
        </w:rPr>
        <w:lastRenderedPageBreak/>
        <w:t>Digital Strategy &amp; Innovation</w:t>
      </w:r>
      <w:r w:rsidRPr="00B56F59">
        <w:rPr>
          <w:rFonts w:ascii="Arial" w:hAnsi="Arial" w:cs="Arial"/>
          <w:sz w:val="20"/>
          <w:szCs w:val="20"/>
        </w:rPr>
        <w:t xml:space="preserve">, a cura di </w:t>
      </w:r>
      <w:r w:rsidRPr="00B56F59">
        <w:rPr>
          <w:rFonts w:ascii="Arial" w:hAnsi="Arial" w:cs="Arial"/>
          <w:b/>
          <w:bCs/>
          <w:sz w:val="20"/>
          <w:szCs w:val="20"/>
        </w:rPr>
        <w:t>Giulia Eremita e Rodolfo Baggio</w:t>
      </w:r>
      <w:r w:rsidRPr="00B56F59">
        <w:rPr>
          <w:rFonts w:ascii="Arial" w:hAnsi="Arial" w:cs="Arial"/>
          <w:sz w:val="20"/>
          <w:szCs w:val="20"/>
        </w:rPr>
        <w:t xml:space="preserve">, affronta una questione destinata a cambiare gli equilibri economici del turismo: </w:t>
      </w:r>
      <w:r w:rsidRPr="00B56F59">
        <w:rPr>
          <w:rFonts w:ascii="Arial" w:hAnsi="Arial" w:cs="Arial"/>
          <w:b/>
          <w:bCs/>
          <w:sz w:val="20"/>
          <w:szCs w:val="20"/>
        </w:rPr>
        <w:t>chi controllerà la relazione con il viaggiatore quando saranno gli assistenti intelligenti a cercare, confrontare e prenotare?</w:t>
      </w:r>
      <w:r w:rsidRPr="00B56F59">
        <w:rPr>
          <w:rFonts w:ascii="Arial" w:hAnsi="Arial" w:cs="Arial"/>
          <w:sz w:val="20"/>
          <w:szCs w:val="20"/>
        </w:rPr>
        <w:t xml:space="preserve"> Dal confronto tra Expedia e Booking.com sulle nuove motivazioni di viaggio, nell'appuntamento </w:t>
      </w:r>
      <w:r w:rsidRPr="00B56F59">
        <w:rPr>
          <w:rFonts w:ascii="Arial" w:hAnsi="Arial" w:cs="Arial"/>
          <w:i/>
          <w:iCs/>
          <w:sz w:val="20"/>
          <w:szCs w:val="20"/>
        </w:rPr>
        <w:t>The New Reasons to Travel</w:t>
      </w:r>
      <w:r w:rsidRPr="00B56F59">
        <w:rPr>
          <w:rFonts w:ascii="Arial" w:hAnsi="Arial" w:cs="Arial"/>
          <w:sz w:val="20"/>
          <w:szCs w:val="20"/>
        </w:rPr>
        <w:t xml:space="preserve">, alla trasformazione dei motori di ricerca in sistemi capaci di fornire risposte e prendere decisioni, BTO analizzerà le conseguenze per piattaforme, imprese e destinazioni. Uno scenario in cui l'automazione si spinge fino alla robotica sociale, con i </w:t>
      </w:r>
      <w:r w:rsidRPr="00B56F59">
        <w:rPr>
          <w:rFonts w:ascii="Arial" w:hAnsi="Arial" w:cs="Arial"/>
          <w:b/>
          <w:bCs/>
          <w:sz w:val="20"/>
          <w:szCs w:val="20"/>
        </w:rPr>
        <w:t>cani robot di OMAI.cloud</w:t>
      </w:r>
      <w:r w:rsidRPr="00B56F59">
        <w:rPr>
          <w:rFonts w:ascii="Arial" w:hAnsi="Arial" w:cs="Arial"/>
          <w:sz w:val="20"/>
          <w:szCs w:val="20"/>
        </w:rPr>
        <w:t>, ma rende ancora più centrale il valore dell'intelligenza umana.</w:t>
      </w:r>
    </w:p>
    <w:p w14:paraId="2F322DE2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359AA066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sz w:val="20"/>
          <w:szCs w:val="20"/>
        </w:rPr>
        <w:t>Food &amp; Wine Tourism</w:t>
      </w:r>
      <w:r w:rsidRPr="00B56F59">
        <w:rPr>
          <w:rFonts w:ascii="Arial" w:hAnsi="Arial" w:cs="Arial"/>
          <w:sz w:val="20"/>
          <w:szCs w:val="20"/>
        </w:rPr>
        <w:t xml:space="preserve">, a cura di </w:t>
      </w:r>
      <w:r w:rsidRPr="00B56F59">
        <w:rPr>
          <w:rFonts w:ascii="Arial" w:hAnsi="Arial" w:cs="Arial"/>
          <w:b/>
          <w:bCs/>
          <w:sz w:val="20"/>
          <w:szCs w:val="20"/>
        </w:rPr>
        <w:t>Roberta Milano</w:t>
      </w:r>
      <w:r w:rsidRPr="00B56F59">
        <w:rPr>
          <w:rFonts w:ascii="Arial" w:hAnsi="Arial" w:cs="Arial"/>
          <w:sz w:val="20"/>
          <w:szCs w:val="20"/>
        </w:rPr>
        <w:t xml:space="preserve">, esplora il confine sempre più sottile tra valorizzazione gastronomica e spettacolarizzazione del cibo. Dai bomboloni diventati virali sulle Dolomiti al riconoscimento UNESCO della cucina italiana, il confronto con </w:t>
      </w:r>
      <w:r w:rsidRPr="00B56F59">
        <w:rPr>
          <w:rFonts w:ascii="Arial" w:hAnsi="Arial" w:cs="Arial"/>
          <w:b/>
          <w:bCs/>
          <w:sz w:val="20"/>
          <w:szCs w:val="20"/>
        </w:rPr>
        <w:t>Pietro Caroli</w:t>
      </w:r>
      <w:r w:rsidRPr="00B56F59">
        <w:rPr>
          <w:rFonts w:ascii="Arial" w:hAnsi="Arial" w:cs="Arial"/>
          <w:sz w:val="20"/>
          <w:szCs w:val="20"/>
        </w:rPr>
        <w:t xml:space="preserve"> del ristorante </w:t>
      </w:r>
      <w:r w:rsidRPr="00B56F59">
        <w:rPr>
          <w:rFonts w:ascii="Arial" w:hAnsi="Arial" w:cs="Arial"/>
          <w:b/>
          <w:bCs/>
          <w:sz w:val="20"/>
          <w:szCs w:val="20"/>
        </w:rPr>
        <w:t>Trippa</w:t>
      </w:r>
      <w:r w:rsidRPr="00B56F59">
        <w:rPr>
          <w:rFonts w:ascii="Arial" w:hAnsi="Arial" w:cs="Arial"/>
          <w:sz w:val="20"/>
          <w:szCs w:val="20"/>
        </w:rPr>
        <w:t xml:space="preserve"> metterà al centro opportunità e rischi di una comunicazione capace di trasformare improvvisamente un prodotto o un luogo in fenomeno turistico. Ma il futuro dell'enogastronomia passa anche dall'accessibilità, con </w:t>
      </w:r>
      <w:r w:rsidRPr="00B56F59">
        <w:rPr>
          <w:rFonts w:ascii="Arial" w:hAnsi="Arial" w:cs="Arial"/>
          <w:b/>
          <w:bCs/>
          <w:sz w:val="20"/>
          <w:szCs w:val="20"/>
        </w:rPr>
        <w:t>Marta Grelli</w:t>
      </w:r>
      <w:r w:rsidRPr="00B56F59">
        <w:rPr>
          <w:rFonts w:ascii="Arial" w:hAnsi="Arial" w:cs="Arial"/>
          <w:sz w:val="20"/>
          <w:szCs w:val="20"/>
        </w:rPr>
        <w:t xml:space="preserve">, autrice del Quaderno sul turismo accessibile di </w:t>
      </w:r>
      <w:r w:rsidRPr="00B56F59">
        <w:rPr>
          <w:rFonts w:ascii="Arial" w:hAnsi="Arial" w:cs="Arial"/>
          <w:b/>
          <w:bCs/>
          <w:sz w:val="20"/>
          <w:szCs w:val="20"/>
        </w:rPr>
        <w:t>ASviS</w:t>
      </w:r>
      <w:r w:rsidRPr="00B56F59">
        <w:rPr>
          <w:rFonts w:ascii="Arial" w:hAnsi="Arial" w:cs="Arial"/>
          <w:sz w:val="20"/>
          <w:szCs w:val="20"/>
        </w:rPr>
        <w:t xml:space="preserve">, e </w:t>
      </w:r>
      <w:r w:rsidRPr="00B56F59">
        <w:rPr>
          <w:rFonts w:ascii="Arial" w:hAnsi="Arial" w:cs="Arial"/>
          <w:b/>
          <w:bCs/>
          <w:sz w:val="20"/>
          <w:szCs w:val="20"/>
        </w:rPr>
        <w:t>Anna Mayer</w:t>
      </w:r>
      <w:r w:rsidRPr="00B56F59">
        <w:rPr>
          <w:rFonts w:ascii="Arial" w:hAnsi="Arial" w:cs="Arial"/>
          <w:sz w:val="20"/>
          <w:szCs w:val="20"/>
        </w:rPr>
        <w:t xml:space="preserve"> dalla Spagna, e dai nuovi linguaggi della creatività digitale, con l'AI generativa, </w:t>
      </w:r>
      <w:r w:rsidRPr="00B56F59">
        <w:rPr>
          <w:rFonts w:ascii="Arial" w:hAnsi="Arial" w:cs="Arial"/>
          <w:b/>
          <w:bCs/>
          <w:sz w:val="20"/>
          <w:szCs w:val="20"/>
        </w:rPr>
        <w:t>Runway</w:t>
      </w:r>
      <w:r w:rsidRPr="00B56F59">
        <w:rPr>
          <w:rFonts w:ascii="Arial" w:hAnsi="Arial" w:cs="Arial"/>
          <w:sz w:val="20"/>
          <w:szCs w:val="20"/>
        </w:rPr>
        <w:t xml:space="preserve"> e </w:t>
      </w:r>
      <w:r w:rsidRPr="00B56F59">
        <w:rPr>
          <w:rFonts w:ascii="Arial" w:hAnsi="Arial" w:cs="Arial"/>
          <w:b/>
          <w:bCs/>
          <w:sz w:val="20"/>
          <w:szCs w:val="20"/>
        </w:rPr>
        <w:t>Giuliano Ambrosio</w:t>
      </w:r>
      <w:r w:rsidRPr="00B56F59">
        <w:rPr>
          <w:rFonts w:ascii="Arial" w:hAnsi="Arial" w:cs="Arial"/>
          <w:sz w:val="20"/>
          <w:szCs w:val="20"/>
        </w:rPr>
        <w:t xml:space="preserve"> di ThinkingHat, partner Orange Media Group. Il rapporto tra sport, cibo e identità dei territori sarà invece affrontato da </w:t>
      </w:r>
      <w:r w:rsidRPr="00B56F59">
        <w:rPr>
          <w:rFonts w:ascii="Arial" w:hAnsi="Arial" w:cs="Arial"/>
          <w:b/>
          <w:bCs/>
          <w:sz w:val="20"/>
          <w:szCs w:val="20"/>
        </w:rPr>
        <w:t>Davide Rampello</w:t>
      </w:r>
      <w:r w:rsidRPr="00B56F59">
        <w:rPr>
          <w:rFonts w:ascii="Arial" w:hAnsi="Arial" w:cs="Arial"/>
          <w:sz w:val="20"/>
          <w:szCs w:val="20"/>
        </w:rPr>
        <w:t xml:space="preserve">, a partire dall'esperienza di </w:t>
      </w:r>
      <w:r w:rsidRPr="00B56F59">
        <w:rPr>
          <w:rFonts w:ascii="Arial" w:hAnsi="Arial" w:cs="Arial"/>
          <w:b/>
          <w:bCs/>
          <w:sz w:val="20"/>
          <w:szCs w:val="20"/>
        </w:rPr>
        <w:t>Milano Cortina 2026</w:t>
      </w:r>
      <w:r w:rsidRPr="00B56F59">
        <w:rPr>
          <w:rFonts w:ascii="Arial" w:hAnsi="Arial" w:cs="Arial"/>
          <w:sz w:val="20"/>
          <w:szCs w:val="20"/>
        </w:rPr>
        <w:t>.</w:t>
      </w:r>
    </w:p>
    <w:p w14:paraId="156AD0D0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0808345D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sz w:val="20"/>
          <w:szCs w:val="20"/>
        </w:rPr>
        <w:t>Hospitality</w:t>
      </w:r>
      <w:r w:rsidRPr="00B56F59">
        <w:rPr>
          <w:rFonts w:ascii="Arial" w:hAnsi="Arial" w:cs="Arial"/>
          <w:sz w:val="20"/>
          <w:szCs w:val="20"/>
        </w:rPr>
        <w:t xml:space="preserve">, a cura di </w:t>
      </w:r>
      <w:r w:rsidRPr="00B56F59">
        <w:rPr>
          <w:rFonts w:ascii="Arial" w:hAnsi="Arial" w:cs="Arial"/>
          <w:b/>
          <w:bCs/>
          <w:sz w:val="20"/>
          <w:szCs w:val="20"/>
        </w:rPr>
        <w:t>Nicola Zoppi</w:t>
      </w:r>
      <w:r w:rsidRPr="00B56F59">
        <w:rPr>
          <w:rFonts w:ascii="Arial" w:hAnsi="Arial" w:cs="Arial"/>
          <w:sz w:val="20"/>
          <w:szCs w:val="20"/>
        </w:rPr>
        <w:t xml:space="preserve">, sposta l'attenzione dalle promesse dell'AI ai suoi effetti concreti sull'economia alberghiera. Quanto cambia davvero il lavoro negli hotel? E l'innovazione tecnologica produce risparmi, maggiori ricavi o migliori esperienze per gli ospiti? Un'indagine con </w:t>
      </w:r>
      <w:r w:rsidRPr="00B56F59">
        <w:rPr>
          <w:rFonts w:ascii="Arial" w:hAnsi="Arial" w:cs="Arial"/>
          <w:b/>
          <w:bCs/>
          <w:sz w:val="20"/>
          <w:szCs w:val="20"/>
        </w:rPr>
        <w:t>Intesa Sanpaolo e ISTAT</w:t>
      </w:r>
      <w:r w:rsidRPr="00B56F59">
        <w:rPr>
          <w:rFonts w:ascii="Arial" w:hAnsi="Arial" w:cs="Arial"/>
          <w:sz w:val="20"/>
          <w:szCs w:val="20"/>
        </w:rPr>
        <w:t xml:space="preserve"> su circa mille strutture italiane contribuirà a misurare il livello di trasformazione del settore, mentre il confronto </w:t>
      </w:r>
      <w:r w:rsidRPr="00B56F59">
        <w:rPr>
          <w:rFonts w:ascii="Arial" w:hAnsi="Arial" w:cs="Arial"/>
          <w:b/>
          <w:bCs/>
          <w:sz w:val="20"/>
          <w:szCs w:val="20"/>
        </w:rPr>
        <w:t>“Italian Hospitality Tribe – The Rulebreakers”</w:t>
      </w:r>
      <w:r w:rsidRPr="00B56F59">
        <w:rPr>
          <w:rFonts w:ascii="Arial" w:hAnsi="Arial" w:cs="Arial"/>
          <w:sz w:val="20"/>
          <w:szCs w:val="20"/>
        </w:rPr>
        <w:t xml:space="preserve"> porterà al centro una domanda: rompere le regole dell'ospitalità può diventare un vantaggio competitivo misurabile, anziché una semplice scelta originale?</w:t>
      </w:r>
    </w:p>
    <w:p w14:paraId="5CF53CBB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3DCD8CF5" w14:textId="721E9805" w:rsid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sz w:val="20"/>
          <w:szCs w:val="20"/>
        </w:rPr>
        <w:t>Anche le destinazioni internazionali porteranno a BTO progetti concreti di innovazione turistica.</w:t>
      </w:r>
      <w:r w:rsidRPr="00B56F59">
        <w:rPr>
          <w:rFonts w:ascii="Arial" w:hAnsi="Arial" w:cs="Arial"/>
          <w:sz w:val="20"/>
          <w:szCs w:val="20"/>
        </w:rPr>
        <w:t xml:space="preserve"> </w:t>
      </w:r>
      <w:r w:rsidRPr="00B56F59">
        <w:rPr>
          <w:rFonts w:ascii="Arial" w:hAnsi="Arial" w:cs="Arial"/>
          <w:b/>
          <w:bCs/>
          <w:sz w:val="20"/>
          <w:szCs w:val="20"/>
        </w:rPr>
        <w:t>Turespaña, main sponsor della manifestazione</w:t>
      </w:r>
      <w:r w:rsidRPr="00B56F59">
        <w:rPr>
          <w:rFonts w:ascii="Arial" w:hAnsi="Arial" w:cs="Arial"/>
          <w:sz w:val="20"/>
          <w:szCs w:val="20"/>
        </w:rPr>
        <w:t xml:space="preserve">, presenterà il percorso avviato con il Piano Quadro di Attività 2026–2028, che punta </w:t>
      </w:r>
      <w:proofErr w:type="gramStart"/>
      <w:r w:rsidRPr="00B56F59">
        <w:rPr>
          <w:rFonts w:ascii="Arial" w:hAnsi="Arial" w:cs="Arial"/>
          <w:sz w:val="20"/>
          <w:szCs w:val="20"/>
        </w:rPr>
        <w:t>ad</w:t>
      </w:r>
      <w:proofErr w:type="gramEnd"/>
      <w:r w:rsidRPr="00B56F59">
        <w:rPr>
          <w:rFonts w:ascii="Arial" w:hAnsi="Arial" w:cs="Arial"/>
          <w:sz w:val="20"/>
          <w:szCs w:val="20"/>
        </w:rPr>
        <w:t xml:space="preserve"> adeguare la promozione turistica ai nuovi sistemi di ricerca basati sull'AI, sviluppando contenuti multilingue e strutturati. L'obiettivo è ampliare la visibilità internazionale anche dei territori meno conosciuti, valorizzandone il patrimonio culturale, naturale ed enogastronomico. </w:t>
      </w:r>
      <w:r w:rsidRPr="00B56F59">
        <w:rPr>
          <w:rFonts w:ascii="Arial" w:hAnsi="Arial" w:cs="Arial"/>
          <w:b/>
          <w:bCs/>
          <w:sz w:val="20"/>
          <w:szCs w:val="20"/>
        </w:rPr>
        <w:t>Malta</w:t>
      </w:r>
      <w:r w:rsidRPr="00B56F59">
        <w:rPr>
          <w:rFonts w:ascii="Arial" w:hAnsi="Arial" w:cs="Arial"/>
          <w:sz w:val="20"/>
          <w:szCs w:val="20"/>
        </w:rPr>
        <w:t xml:space="preserve"> porterà l'esperienza di </w:t>
      </w:r>
      <w:r w:rsidRPr="00B56F59">
        <w:rPr>
          <w:rFonts w:ascii="Arial" w:hAnsi="Arial" w:cs="Arial"/>
          <w:b/>
          <w:bCs/>
          <w:sz w:val="20"/>
          <w:szCs w:val="20"/>
        </w:rPr>
        <w:t>Explore The Unexplored</w:t>
      </w:r>
      <w:r w:rsidRPr="00B56F59">
        <w:rPr>
          <w:rFonts w:ascii="Arial" w:hAnsi="Arial" w:cs="Arial"/>
          <w:sz w:val="20"/>
          <w:szCs w:val="20"/>
        </w:rPr>
        <w:t xml:space="preserve">, progetto multimediale che utilizza nuovi linguaggi digitali e creator per raccontare l'arcipelago oltre gli stereotipi, promuovendo un turismo più consapevole e responsabile. Il 10 novembre, sul palco di BTO, sarà premiato il vincitore del </w:t>
      </w:r>
      <w:r w:rsidRPr="00B56F59">
        <w:rPr>
          <w:rFonts w:ascii="Arial" w:hAnsi="Arial" w:cs="Arial"/>
          <w:b/>
          <w:bCs/>
          <w:sz w:val="20"/>
          <w:szCs w:val="20"/>
        </w:rPr>
        <w:t>Creators Award</w:t>
      </w:r>
      <w:r w:rsidRPr="00B56F59">
        <w:rPr>
          <w:rFonts w:ascii="Arial" w:hAnsi="Arial" w:cs="Arial"/>
          <w:sz w:val="20"/>
          <w:szCs w:val="20"/>
        </w:rPr>
        <w:t xml:space="preserve">, dedicato alla creatività e alle nuove forme di narrazione delle destinazioni. Spazio anche alla terza edizione di </w:t>
      </w:r>
      <w:r w:rsidRPr="00B56F59">
        <w:rPr>
          <w:rFonts w:ascii="Arial" w:hAnsi="Arial" w:cs="Arial"/>
          <w:b/>
          <w:bCs/>
          <w:sz w:val="20"/>
          <w:szCs w:val="20"/>
        </w:rPr>
        <w:t>BTO Women</w:t>
      </w:r>
      <w:r w:rsidRPr="00B56F59">
        <w:rPr>
          <w:rFonts w:ascii="Arial" w:hAnsi="Arial" w:cs="Arial"/>
          <w:sz w:val="20"/>
          <w:szCs w:val="20"/>
        </w:rPr>
        <w:t xml:space="preserve">, il format </w:t>
      </w:r>
      <w:r w:rsidR="00296D15">
        <w:rPr>
          <w:rFonts w:ascii="Arial" w:hAnsi="Arial" w:cs="Arial"/>
          <w:sz w:val="20"/>
          <w:szCs w:val="20"/>
        </w:rPr>
        <w:t>curato</w:t>
      </w:r>
      <w:r w:rsidRPr="00B56F59">
        <w:rPr>
          <w:rFonts w:ascii="Arial" w:hAnsi="Arial" w:cs="Arial"/>
          <w:sz w:val="20"/>
          <w:szCs w:val="20"/>
        </w:rPr>
        <w:t xml:space="preserve"> da </w:t>
      </w:r>
      <w:r w:rsidRPr="00B56F59">
        <w:rPr>
          <w:rFonts w:ascii="Arial" w:hAnsi="Arial" w:cs="Arial"/>
          <w:b/>
          <w:bCs/>
          <w:sz w:val="20"/>
          <w:szCs w:val="20"/>
        </w:rPr>
        <w:t>Clara Svanera</w:t>
      </w:r>
      <w:r w:rsidRPr="00B56F59">
        <w:rPr>
          <w:rFonts w:ascii="Arial" w:hAnsi="Arial" w:cs="Arial"/>
          <w:sz w:val="20"/>
          <w:szCs w:val="20"/>
        </w:rPr>
        <w:t xml:space="preserve">, dedicato al viaggio femminile tra sicurezza, accoglienza e nuove comunità. Tra le esperienze al centro del confronto, </w:t>
      </w:r>
      <w:r w:rsidRPr="00B56F59">
        <w:rPr>
          <w:rFonts w:ascii="Arial" w:hAnsi="Arial" w:cs="Arial"/>
          <w:b/>
          <w:bCs/>
          <w:sz w:val="20"/>
          <w:szCs w:val="20"/>
        </w:rPr>
        <w:t>Uber Women Preferences</w:t>
      </w:r>
      <w:r w:rsidRPr="00B56F59">
        <w:rPr>
          <w:rFonts w:ascii="Arial" w:hAnsi="Arial" w:cs="Arial"/>
          <w:sz w:val="20"/>
          <w:szCs w:val="20"/>
        </w:rPr>
        <w:t xml:space="preserve">, il servizio che consente alle donne di scegliere una conducente donna e che ha già superato </w:t>
      </w:r>
      <w:r w:rsidRPr="00B56F59">
        <w:rPr>
          <w:rFonts w:ascii="Arial" w:hAnsi="Arial" w:cs="Arial"/>
          <w:b/>
          <w:bCs/>
          <w:sz w:val="20"/>
          <w:szCs w:val="20"/>
        </w:rPr>
        <w:t>230 milioni di corse nel mondo</w:t>
      </w:r>
      <w:r w:rsidRPr="00B56F59">
        <w:rPr>
          <w:rFonts w:ascii="Arial" w:hAnsi="Arial" w:cs="Arial"/>
          <w:sz w:val="20"/>
          <w:szCs w:val="20"/>
        </w:rPr>
        <w:t>. Un esempio concreto di come la sicurezza possa diventare anche un fattore di innovazione e competitività per il turismo.</w:t>
      </w:r>
    </w:p>
    <w:p w14:paraId="628E4562" w14:textId="77777777" w:rsidR="00B56F59" w:rsidRPr="00B56F59" w:rsidRDefault="00B56F59" w:rsidP="00B56F59">
      <w:pPr>
        <w:jc w:val="both"/>
        <w:rPr>
          <w:rFonts w:ascii="Arial" w:hAnsi="Arial" w:cs="Arial"/>
          <w:sz w:val="20"/>
          <w:szCs w:val="20"/>
        </w:rPr>
      </w:pPr>
    </w:p>
    <w:p w14:paraId="10AD164B" w14:textId="77777777" w:rsidR="00296D15" w:rsidRDefault="00B56F59" w:rsidP="00B56F59">
      <w:pPr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sz w:val="20"/>
          <w:szCs w:val="20"/>
        </w:rPr>
        <w:t xml:space="preserve">I quattro topic saranno affiancati da format speciali, laboratori e </w:t>
      </w:r>
      <w:r w:rsidRPr="00B56F59">
        <w:rPr>
          <w:rFonts w:ascii="Arial" w:hAnsi="Arial" w:cs="Arial"/>
          <w:b/>
          <w:bCs/>
          <w:sz w:val="20"/>
          <w:szCs w:val="20"/>
        </w:rPr>
        <w:t>Cassette degli Attrezzi</w:t>
      </w:r>
      <w:r w:rsidRPr="00B56F59">
        <w:rPr>
          <w:rFonts w:ascii="Arial" w:hAnsi="Arial" w:cs="Arial"/>
          <w:sz w:val="20"/>
          <w:szCs w:val="20"/>
        </w:rPr>
        <w:t>, con strumenti pratici per imprese e Pubblica Amministrazione.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F33F7A0" w14:textId="77777777" w:rsidR="00296D15" w:rsidRDefault="00296D15" w:rsidP="00B56F59">
      <w:pPr>
        <w:jc w:val="both"/>
        <w:rPr>
          <w:rFonts w:ascii="Arial" w:hAnsi="Arial" w:cs="Arial"/>
          <w:sz w:val="20"/>
          <w:szCs w:val="20"/>
        </w:rPr>
      </w:pPr>
    </w:p>
    <w:p w14:paraId="5C36BD2B" w14:textId="4AA80BC1" w:rsidR="00296D15" w:rsidRDefault="00296D15" w:rsidP="00B56F59">
      <w:pPr>
        <w:jc w:val="both"/>
        <w:rPr>
          <w:rFonts w:ascii="Arial" w:hAnsi="Arial" w:cs="Arial"/>
          <w:sz w:val="20"/>
          <w:szCs w:val="20"/>
        </w:rPr>
      </w:pPr>
      <w:hyperlink r:id="rId8" w:history="1">
        <w:r w:rsidRPr="00296D15">
          <w:rPr>
            <w:rStyle w:val="Collegamentoipertestuale"/>
            <w:rFonts w:ascii="Arial" w:hAnsi="Arial" w:cs="Arial"/>
            <w:sz w:val="20"/>
            <w:szCs w:val="20"/>
          </w:rPr>
          <w:t>Informazioni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23B1AE6D" w14:textId="77777777" w:rsidR="00296D15" w:rsidRDefault="00296D15" w:rsidP="00B56F59">
      <w:pPr>
        <w:jc w:val="both"/>
        <w:rPr>
          <w:rFonts w:ascii="Arial" w:hAnsi="Arial" w:cs="Arial"/>
          <w:sz w:val="20"/>
          <w:szCs w:val="20"/>
        </w:rPr>
      </w:pPr>
    </w:p>
    <w:p w14:paraId="14218B7F" w14:textId="02150EA1" w:rsidR="00296D15" w:rsidRDefault="00296D15" w:rsidP="00B56F59">
      <w:pPr>
        <w:jc w:val="both"/>
        <w:rPr>
          <w:rFonts w:ascii="Arial" w:hAnsi="Arial" w:cs="Arial"/>
          <w:sz w:val="20"/>
          <w:szCs w:val="20"/>
        </w:rPr>
      </w:pPr>
      <w:hyperlink r:id="rId9" w:history="1">
        <w:r w:rsidRPr="00296D15">
          <w:rPr>
            <w:rStyle w:val="Collegamentoipertestuale"/>
            <w:rFonts w:ascii="Arial" w:hAnsi="Arial" w:cs="Arial"/>
            <w:sz w:val="20"/>
            <w:szCs w:val="20"/>
          </w:rPr>
          <w:t>Richiesta accredito stampa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739BBC9C" w14:textId="77777777" w:rsidR="00296D15" w:rsidRDefault="00296D15" w:rsidP="00B56F59">
      <w:pPr>
        <w:jc w:val="both"/>
        <w:rPr>
          <w:rFonts w:ascii="Arial" w:hAnsi="Arial" w:cs="Arial"/>
          <w:sz w:val="20"/>
          <w:szCs w:val="20"/>
        </w:rPr>
      </w:pPr>
    </w:p>
    <w:p w14:paraId="72B01EF7" w14:textId="77777777" w:rsidR="001F2306" w:rsidRPr="00B56F59" w:rsidRDefault="001F2306" w:rsidP="001F2306">
      <w:pPr>
        <w:spacing w:line="120" w:lineRule="auto"/>
        <w:jc w:val="both"/>
        <w:rPr>
          <w:rFonts w:ascii="Arial" w:hAnsi="Arial" w:cs="Arial"/>
          <w:sz w:val="20"/>
          <w:szCs w:val="20"/>
        </w:rPr>
      </w:pPr>
    </w:p>
    <w:p w14:paraId="55DD63CE" w14:textId="65F797CC" w:rsidR="00BE5213" w:rsidRPr="00B56F59" w:rsidRDefault="00DB0BA6" w:rsidP="00DB0BA6">
      <w:pPr>
        <w:spacing w:line="252" w:lineRule="auto"/>
        <w:jc w:val="both"/>
        <w:rPr>
          <w:rFonts w:ascii="Arial" w:hAnsi="Arial" w:cs="Arial"/>
          <w:sz w:val="20"/>
          <w:szCs w:val="20"/>
        </w:rPr>
      </w:pPr>
      <w:r w:rsidRPr="00B56F59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Media Partner BTO2026:</w:t>
      </w:r>
      <w:r w:rsidRPr="00B56F5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Trend, Travelworld.it, Turismo &amp; Attualità, Travel Quotidiano, Italiabsolutely, Guida Viaggi, L’Agenzia di Viaggi, Quality Travel, Wine Meridian, </w:t>
      </w:r>
      <w:hyperlink r:id="rId10" w:tgtFrame="_blank" w:history="1">
        <w:r w:rsidRPr="00B56F59">
          <w:rPr>
            <w:rFonts w:ascii="Arial" w:hAnsi="Arial" w:cs="Arial"/>
            <w:color w:val="1155CC"/>
            <w:sz w:val="20"/>
            <w:szCs w:val="20"/>
            <w:u w:val="single"/>
            <w:shd w:val="clear" w:color="auto" w:fill="FFFFFF"/>
          </w:rPr>
          <w:t>intoscana.it</w:t>
        </w:r>
      </w:hyperlink>
      <w:r w:rsidR="00EE61D0" w:rsidRPr="00B56F59">
        <w:rPr>
          <w:rFonts w:ascii="Arial" w:hAnsi="Arial" w:cs="Arial"/>
          <w:color w:val="222222"/>
          <w:sz w:val="20"/>
          <w:szCs w:val="20"/>
          <w:shd w:val="clear" w:color="auto" w:fill="FFFFFF"/>
        </w:rPr>
        <w:t>, ANSO - Associazione Nazionale Stampa Online.</w:t>
      </w:r>
    </w:p>
    <w:p w14:paraId="365AFCF9" w14:textId="77777777" w:rsidR="001F2306" w:rsidRPr="00B56F59" w:rsidRDefault="001F2306" w:rsidP="001F2306">
      <w:pPr>
        <w:spacing w:line="120" w:lineRule="auto"/>
        <w:jc w:val="both"/>
        <w:rPr>
          <w:rFonts w:ascii="Arial" w:eastAsia="Helvetica Neue" w:hAnsi="Arial" w:cs="Arial"/>
          <w:b/>
          <w:bCs/>
          <w:sz w:val="20"/>
          <w:szCs w:val="20"/>
        </w:rPr>
      </w:pPr>
    </w:p>
    <w:p w14:paraId="1DD5160D" w14:textId="77777777" w:rsidR="00B56F59" w:rsidRDefault="00BE5213" w:rsidP="00BE5213">
      <w:pPr>
        <w:spacing w:line="252" w:lineRule="auto"/>
        <w:jc w:val="both"/>
        <w:rPr>
          <w:rFonts w:ascii="Arial" w:eastAsia="Helvetica Neue" w:hAnsi="Arial" w:cs="Arial"/>
          <w:b/>
          <w:bCs/>
          <w:sz w:val="20"/>
          <w:szCs w:val="20"/>
        </w:rPr>
      </w:pPr>
      <w:r w:rsidRPr="00B56F59">
        <w:rPr>
          <w:rFonts w:ascii="Arial" w:eastAsia="Helvetica Neue" w:hAnsi="Arial" w:cs="Arial"/>
          <w:b/>
          <w:bCs/>
          <w:sz w:val="20"/>
          <w:szCs w:val="20"/>
        </w:rPr>
        <w:t xml:space="preserve">Contatti ufficio </w:t>
      </w:r>
      <w:r w:rsidR="00DB0BA6" w:rsidRPr="00B56F59">
        <w:rPr>
          <w:rFonts w:ascii="Arial" w:eastAsia="Helvetica Neue" w:hAnsi="Arial" w:cs="Arial"/>
          <w:b/>
          <w:bCs/>
          <w:sz w:val="20"/>
          <w:szCs w:val="20"/>
        </w:rPr>
        <w:t>s</w:t>
      </w:r>
      <w:r w:rsidRPr="00B56F59">
        <w:rPr>
          <w:rFonts w:ascii="Arial" w:eastAsia="Helvetica Neue" w:hAnsi="Arial" w:cs="Arial"/>
          <w:b/>
          <w:bCs/>
          <w:sz w:val="20"/>
          <w:szCs w:val="20"/>
        </w:rPr>
        <w:t>tampa</w:t>
      </w:r>
      <w:r w:rsidR="00B56F59">
        <w:rPr>
          <w:rFonts w:ascii="Arial" w:eastAsia="Helvetica Neue" w:hAnsi="Arial" w:cs="Arial"/>
          <w:b/>
          <w:bCs/>
          <w:sz w:val="20"/>
          <w:szCs w:val="20"/>
        </w:rPr>
        <w:t>:</w:t>
      </w:r>
    </w:p>
    <w:p w14:paraId="64D129AB" w14:textId="2BFFE485" w:rsidR="00BE5213" w:rsidRPr="00B56F59" w:rsidRDefault="00BE5213" w:rsidP="00BE5213">
      <w:pPr>
        <w:spacing w:line="252" w:lineRule="auto"/>
        <w:jc w:val="both"/>
        <w:rPr>
          <w:rFonts w:ascii="Arial" w:eastAsia="Helvetica Neue" w:hAnsi="Arial" w:cs="Arial"/>
          <w:b/>
          <w:bCs/>
          <w:sz w:val="20"/>
          <w:szCs w:val="20"/>
        </w:rPr>
      </w:pPr>
      <w:r w:rsidRPr="00B56F59">
        <w:rPr>
          <w:rFonts w:ascii="Arial" w:eastAsia="Helvetica Neue" w:hAnsi="Arial" w:cs="Arial"/>
          <w:bCs/>
          <w:sz w:val="20"/>
          <w:szCs w:val="20"/>
        </w:rPr>
        <w:t>The Gate Communication - Valerio Tavani – valerio@the-gate.it - 339 6290620</w:t>
      </w:r>
    </w:p>
    <w:p w14:paraId="476A6F8C" w14:textId="7F7FC45E" w:rsidR="00B82812" w:rsidRPr="00B56F59" w:rsidRDefault="00BE5213" w:rsidP="00271BEB">
      <w:pPr>
        <w:spacing w:line="252" w:lineRule="auto"/>
        <w:jc w:val="both"/>
        <w:rPr>
          <w:rFonts w:ascii="Arial" w:eastAsia="Helvetica Neue" w:hAnsi="Arial" w:cs="Arial"/>
          <w:b/>
          <w:bCs/>
          <w:sz w:val="20"/>
          <w:szCs w:val="20"/>
        </w:rPr>
      </w:pPr>
      <w:r w:rsidRPr="00B56F59">
        <w:rPr>
          <w:rFonts w:ascii="Arial" w:eastAsia="Helvetica Neue" w:hAnsi="Arial" w:cs="Arial"/>
          <w:bCs/>
          <w:sz w:val="20"/>
          <w:szCs w:val="20"/>
        </w:rPr>
        <w:t xml:space="preserve">Fondazione Sistema Toscana - Mariangela Della Monica </w:t>
      </w:r>
      <w:hyperlink r:id="rId11" w:history="1">
        <w:r w:rsidRPr="00B56F59">
          <w:rPr>
            <w:rStyle w:val="Collegamentoipertestuale"/>
            <w:rFonts w:ascii="Arial" w:eastAsia="Helvetica Neue" w:hAnsi="Arial" w:cs="Arial"/>
            <w:bCs/>
            <w:sz w:val="20"/>
            <w:szCs w:val="20"/>
          </w:rPr>
          <w:t>m.dellamonica@fst.it</w:t>
        </w:r>
      </w:hyperlink>
      <w:r w:rsidRPr="00B56F59">
        <w:rPr>
          <w:rFonts w:ascii="Arial" w:eastAsia="Helvetica Neue" w:hAnsi="Arial" w:cs="Arial"/>
          <w:bCs/>
          <w:sz w:val="20"/>
          <w:szCs w:val="20"/>
        </w:rPr>
        <w:t xml:space="preserve"> 334 6606721</w:t>
      </w:r>
    </w:p>
    <w:sectPr w:rsidR="00B82812" w:rsidRPr="00B56F59" w:rsidSect="00BE5213">
      <w:headerReference w:type="default" r:id="rId12"/>
      <w:footerReference w:type="default" r:id="rId13"/>
      <w:pgSz w:w="11906" w:h="16838"/>
      <w:pgMar w:top="1474" w:right="1077" w:bottom="1247" w:left="1077" w:header="136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170A3" w14:textId="77777777" w:rsidR="00AC3E54" w:rsidRDefault="00AC3E54">
      <w:r>
        <w:separator/>
      </w:r>
    </w:p>
  </w:endnote>
  <w:endnote w:type="continuationSeparator" w:id="0">
    <w:p w14:paraId="271C6DB9" w14:textId="77777777" w:rsidR="00AC3E54" w:rsidRDefault="00AC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7834" w14:textId="77777777" w:rsidR="003A6FFF" w:rsidRDefault="00000000">
    <w:pPr>
      <w:pStyle w:val="Pidipagina"/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41550A71" wp14:editId="0D38975F">
          <wp:simplePos x="0" y="0"/>
          <wp:positionH relativeFrom="page">
            <wp:align>left</wp:align>
          </wp:positionH>
          <wp:positionV relativeFrom="paragraph">
            <wp:posOffset>-31115</wp:posOffset>
          </wp:positionV>
          <wp:extent cx="7556500" cy="476250"/>
          <wp:effectExtent l="0" t="0" r="6350" b="0"/>
          <wp:wrapTopAndBottom distT="114300" distB="114300"/>
          <wp:docPr id="25658117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t="48321" b="21527"/>
                  <a:stretch/>
                </pic:blipFill>
                <pic:spPr bwMode="auto">
                  <a:xfrm>
                    <a:off x="0" y="0"/>
                    <a:ext cx="7556500" cy="47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031C4" w14:textId="77777777" w:rsidR="00AC3E54" w:rsidRDefault="00AC3E54">
      <w:r>
        <w:separator/>
      </w:r>
    </w:p>
  </w:footnote>
  <w:footnote w:type="continuationSeparator" w:id="0">
    <w:p w14:paraId="286E6374" w14:textId="77777777" w:rsidR="00AC3E54" w:rsidRDefault="00AC3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5570" w14:textId="77777777" w:rsidR="003A6FFF" w:rsidRDefault="00000000">
    <w:pPr>
      <w:pStyle w:val="Intestazione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26A2770" wp14:editId="0D77A080">
          <wp:simplePos x="0" y="0"/>
          <wp:positionH relativeFrom="page">
            <wp:posOffset>635</wp:posOffset>
          </wp:positionH>
          <wp:positionV relativeFrom="page">
            <wp:posOffset>2024</wp:posOffset>
          </wp:positionV>
          <wp:extent cx="7560000" cy="1123200"/>
          <wp:effectExtent l="0" t="0" r="0" b="0"/>
          <wp:wrapNone/>
          <wp:docPr id="16230244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123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9D6F1D"/>
    <w:multiLevelType w:val="multilevel"/>
    <w:tmpl w:val="F89E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D34BFB"/>
    <w:multiLevelType w:val="multilevel"/>
    <w:tmpl w:val="241CB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F757E6"/>
    <w:multiLevelType w:val="multilevel"/>
    <w:tmpl w:val="D14E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31667"/>
    <w:multiLevelType w:val="multilevel"/>
    <w:tmpl w:val="4B520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2045522">
    <w:abstractNumId w:val="4"/>
  </w:num>
  <w:num w:numId="2" w16cid:durableId="1672483448">
    <w:abstractNumId w:val="0"/>
  </w:num>
  <w:num w:numId="3" w16cid:durableId="1679036684">
    <w:abstractNumId w:val="2"/>
  </w:num>
  <w:num w:numId="4" w16cid:durableId="1020548625">
    <w:abstractNumId w:val="1"/>
  </w:num>
  <w:num w:numId="5" w16cid:durableId="967201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4D"/>
    <w:rsid w:val="00002BF9"/>
    <w:rsid w:val="0001038C"/>
    <w:rsid w:val="000103C8"/>
    <w:rsid w:val="00012B12"/>
    <w:rsid w:val="00014D23"/>
    <w:rsid w:val="00023B1E"/>
    <w:rsid w:val="00024737"/>
    <w:rsid w:val="00053BD4"/>
    <w:rsid w:val="00064489"/>
    <w:rsid w:val="000836A3"/>
    <w:rsid w:val="00083721"/>
    <w:rsid w:val="000B2333"/>
    <w:rsid w:val="000C14C0"/>
    <w:rsid w:val="000D2337"/>
    <w:rsid w:val="000D789F"/>
    <w:rsid w:val="000E5AE6"/>
    <w:rsid w:val="00102F86"/>
    <w:rsid w:val="001119BF"/>
    <w:rsid w:val="00113AB4"/>
    <w:rsid w:val="00131EF4"/>
    <w:rsid w:val="0013415E"/>
    <w:rsid w:val="00151B44"/>
    <w:rsid w:val="00182198"/>
    <w:rsid w:val="00191B3D"/>
    <w:rsid w:val="00195896"/>
    <w:rsid w:val="001A4F25"/>
    <w:rsid w:val="001B2D04"/>
    <w:rsid w:val="001C6A04"/>
    <w:rsid w:val="001D71FC"/>
    <w:rsid w:val="001F2306"/>
    <w:rsid w:val="001F7899"/>
    <w:rsid w:val="00201630"/>
    <w:rsid w:val="00210BFF"/>
    <w:rsid w:val="00215CA4"/>
    <w:rsid w:val="00220BA9"/>
    <w:rsid w:val="0022614D"/>
    <w:rsid w:val="00251F50"/>
    <w:rsid w:val="002714A8"/>
    <w:rsid w:val="00271BEB"/>
    <w:rsid w:val="00273DF5"/>
    <w:rsid w:val="00275C84"/>
    <w:rsid w:val="00280813"/>
    <w:rsid w:val="00284286"/>
    <w:rsid w:val="00287D29"/>
    <w:rsid w:val="00296D15"/>
    <w:rsid w:val="002A3A64"/>
    <w:rsid w:val="002C3F6E"/>
    <w:rsid w:val="002D5059"/>
    <w:rsid w:val="002E12EE"/>
    <w:rsid w:val="002E215E"/>
    <w:rsid w:val="002F437F"/>
    <w:rsid w:val="002F5DAC"/>
    <w:rsid w:val="003135A4"/>
    <w:rsid w:val="00315315"/>
    <w:rsid w:val="00315C04"/>
    <w:rsid w:val="00316296"/>
    <w:rsid w:val="00316759"/>
    <w:rsid w:val="0032217D"/>
    <w:rsid w:val="0032429A"/>
    <w:rsid w:val="00326ADE"/>
    <w:rsid w:val="0033057A"/>
    <w:rsid w:val="00340CCD"/>
    <w:rsid w:val="00342D5A"/>
    <w:rsid w:val="003602C5"/>
    <w:rsid w:val="0036129A"/>
    <w:rsid w:val="00364F91"/>
    <w:rsid w:val="00374006"/>
    <w:rsid w:val="00374142"/>
    <w:rsid w:val="00386C51"/>
    <w:rsid w:val="00387F1D"/>
    <w:rsid w:val="00396113"/>
    <w:rsid w:val="003976CC"/>
    <w:rsid w:val="003A0572"/>
    <w:rsid w:val="003A391E"/>
    <w:rsid w:val="003A6FFF"/>
    <w:rsid w:val="003C0B20"/>
    <w:rsid w:val="003C109E"/>
    <w:rsid w:val="003C7E32"/>
    <w:rsid w:val="003D1BF6"/>
    <w:rsid w:val="003D59BA"/>
    <w:rsid w:val="003F3620"/>
    <w:rsid w:val="003F7ECA"/>
    <w:rsid w:val="00403F2D"/>
    <w:rsid w:val="004122C0"/>
    <w:rsid w:val="004222FB"/>
    <w:rsid w:val="00424539"/>
    <w:rsid w:val="0043135B"/>
    <w:rsid w:val="00433023"/>
    <w:rsid w:val="004548EC"/>
    <w:rsid w:val="004603F6"/>
    <w:rsid w:val="0046338F"/>
    <w:rsid w:val="004733A5"/>
    <w:rsid w:val="00475D68"/>
    <w:rsid w:val="004E2A25"/>
    <w:rsid w:val="004F6499"/>
    <w:rsid w:val="005061D6"/>
    <w:rsid w:val="0050773A"/>
    <w:rsid w:val="005138D9"/>
    <w:rsid w:val="00515AFF"/>
    <w:rsid w:val="00516FA6"/>
    <w:rsid w:val="00521233"/>
    <w:rsid w:val="00522013"/>
    <w:rsid w:val="00525683"/>
    <w:rsid w:val="00527325"/>
    <w:rsid w:val="00543F04"/>
    <w:rsid w:val="0054493F"/>
    <w:rsid w:val="00546B43"/>
    <w:rsid w:val="00563FD4"/>
    <w:rsid w:val="00573474"/>
    <w:rsid w:val="005771AA"/>
    <w:rsid w:val="005853EF"/>
    <w:rsid w:val="00594443"/>
    <w:rsid w:val="005A2795"/>
    <w:rsid w:val="005A4653"/>
    <w:rsid w:val="005B32B6"/>
    <w:rsid w:val="005C010B"/>
    <w:rsid w:val="005C75C6"/>
    <w:rsid w:val="006056FC"/>
    <w:rsid w:val="00611033"/>
    <w:rsid w:val="00633BDE"/>
    <w:rsid w:val="006366A6"/>
    <w:rsid w:val="00645EE4"/>
    <w:rsid w:val="00656C6C"/>
    <w:rsid w:val="006626A3"/>
    <w:rsid w:val="00667547"/>
    <w:rsid w:val="0067116D"/>
    <w:rsid w:val="00676D33"/>
    <w:rsid w:val="00684D02"/>
    <w:rsid w:val="00693982"/>
    <w:rsid w:val="006A5655"/>
    <w:rsid w:val="006B21E4"/>
    <w:rsid w:val="006B46D9"/>
    <w:rsid w:val="006C146D"/>
    <w:rsid w:val="006C16B6"/>
    <w:rsid w:val="006C26F0"/>
    <w:rsid w:val="006C5C0A"/>
    <w:rsid w:val="006D37CB"/>
    <w:rsid w:val="006E42FC"/>
    <w:rsid w:val="0070361A"/>
    <w:rsid w:val="00703876"/>
    <w:rsid w:val="00726FBA"/>
    <w:rsid w:val="0073182B"/>
    <w:rsid w:val="007408F7"/>
    <w:rsid w:val="00755F88"/>
    <w:rsid w:val="007575A1"/>
    <w:rsid w:val="00760F6C"/>
    <w:rsid w:val="00764535"/>
    <w:rsid w:val="00774108"/>
    <w:rsid w:val="00777FDE"/>
    <w:rsid w:val="007819FD"/>
    <w:rsid w:val="00792C46"/>
    <w:rsid w:val="007A198D"/>
    <w:rsid w:val="007A73A8"/>
    <w:rsid w:val="007B75A7"/>
    <w:rsid w:val="007B76F6"/>
    <w:rsid w:val="007D0188"/>
    <w:rsid w:val="007D5F9F"/>
    <w:rsid w:val="007E027C"/>
    <w:rsid w:val="007E2F3D"/>
    <w:rsid w:val="007F3DB4"/>
    <w:rsid w:val="007F529E"/>
    <w:rsid w:val="00806BF7"/>
    <w:rsid w:val="00817025"/>
    <w:rsid w:val="008258FF"/>
    <w:rsid w:val="00831DD0"/>
    <w:rsid w:val="008322B5"/>
    <w:rsid w:val="0083342F"/>
    <w:rsid w:val="00841228"/>
    <w:rsid w:val="008460CA"/>
    <w:rsid w:val="008554F4"/>
    <w:rsid w:val="00876203"/>
    <w:rsid w:val="00877C25"/>
    <w:rsid w:val="008A2987"/>
    <w:rsid w:val="008A2ED7"/>
    <w:rsid w:val="008A421F"/>
    <w:rsid w:val="008B3983"/>
    <w:rsid w:val="008E5E57"/>
    <w:rsid w:val="00912211"/>
    <w:rsid w:val="00916C30"/>
    <w:rsid w:val="00925F1F"/>
    <w:rsid w:val="00933BB4"/>
    <w:rsid w:val="00933FD8"/>
    <w:rsid w:val="00943AE3"/>
    <w:rsid w:val="00945401"/>
    <w:rsid w:val="009541B0"/>
    <w:rsid w:val="00961F36"/>
    <w:rsid w:val="009800FB"/>
    <w:rsid w:val="0098034A"/>
    <w:rsid w:val="0099308D"/>
    <w:rsid w:val="009A55A9"/>
    <w:rsid w:val="009D0175"/>
    <w:rsid w:val="009D56A2"/>
    <w:rsid w:val="009F5CFB"/>
    <w:rsid w:val="00A1154E"/>
    <w:rsid w:val="00A22EA4"/>
    <w:rsid w:val="00A32FC9"/>
    <w:rsid w:val="00A34974"/>
    <w:rsid w:val="00A34AE4"/>
    <w:rsid w:val="00A4053E"/>
    <w:rsid w:val="00A516C3"/>
    <w:rsid w:val="00A54C1A"/>
    <w:rsid w:val="00A60A1D"/>
    <w:rsid w:val="00A6131E"/>
    <w:rsid w:val="00A6407F"/>
    <w:rsid w:val="00A832BF"/>
    <w:rsid w:val="00A937DC"/>
    <w:rsid w:val="00A95527"/>
    <w:rsid w:val="00AB1E1E"/>
    <w:rsid w:val="00AC15C5"/>
    <w:rsid w:val="00AC16ED"/>
    <w:rsid w:val="00AC3E54"/>
    <w:rsid w:val="00AD4D8A"/>
    <w:rsid w:val="00B07F86"/>
    <w:rsid w:val="00B15EFF"/>
    <w:rsid w:val="00B22700"/>
    <w:rsid w:val="00B2772A"/>
    <w:rsid w:val="00B279DD"/>
    <w:rsid w:val="00B46571"/>
    <w:rsid w:val="00B56F59"/>
    <w:rsid w:val="00B62E22"/>
    <w:rsid w:val="00B82812"/>
    <w:rsid w:val="00B95D5E"/>
    <w:rsid w:val="00BA52B7"/>
    <w:rsid w:val="00BB22A5"/>
    <w:rsid w:val="00BB347E"/>
    <w:rsid w:val="00BC52BE"/>
    <w:rsid w:val="00BD0651"/>
    <w:rsid w:val="00BD0DB2"/>
    <w:rsid w:val="00BD530A"/>
    <w:rsid w:val="00BD7B04"/>
    <w:rsid w:val="00BE4877"/>
    <w:rsid w:val="00BE4BE2"/>
    <w:rsid w:val="00BE5213"/>
    <w:rsid w:val="00C00B18"/>
    <w:rsid w:val="00C21548"/>
    <w:rsid w:val="00C46078"/>
    <w:rsid w:val="00C47823"/>
    <w:rsid w:val="00C61E91"/>
    <w:rsid w:val="00C939CB"/>
    <w:rsid w:val="00C93CF2"/>
    <w:rsid w:val="00CA2ED0"/>
    <w:rsid w:val="00CB03BF"/>
    <w:rsid w:val="00CC7C36"/>
    <w:rsid w:val="00CE2F3F"/>
    <w:rsid w:val="00CF280B"/>
    <w:rsid w:val="00CF2AFB"/>
    <w:rsid w:val="00CF3E55"/>
    <w:rsid w:val="00D17445"/>
    <w:rsid w:val="00D21645"/>
    <w:rsid w:val="00D261EF"/>
    <w:rsid w:val="00D425C3"/>
    <w:rsid w:val="00D574B0"/>
    <w:rsid w:val="00D632E1"/>
    <w:rsid w:val="00D72D9D"/>
    <w:rsid w:val="00D75830"/>
    <w:rsid w:val="00D7651B"/>
    <w:rsid w:val="00D8512E"/>
    <w:rsid w:val="00D92EF2"/>
    <w:rsid w:val="00D95413"/>
    <w:rsid w:val="00DA09D2"/>
    <w:rsid w:val="00DB0BA6"/>
    <w:rsid w:val="00DE184C"/>
    <w:rsid w:val="00DE2C61"/>
    <w:rsid w:val="00DE474D"/>
    <w:rsid w:val="00DE4D50"/>
    <w:rsid w:val="00E006C2"/>
    <w:rsid w:val="00E018E2"/>
    <w:rsid w:val="00E06542"/>
    <w:rsid w:val="00E0678D"/>
    <w:rsid w:val="00E26EA6"/>
    <w:rsid w:val="00E408BC"/>
    <w:rsid w:val="00E73F56"/>
    <w:rsid w:val="00E77B2F"/>
    <w:rsid w:val="00E92D7E"/>
    <w:rsid w:val="00EA53EC"/>
    <w:rsid w:val="00EA6782"/>
    <w:rsid w:val="00EC57EA"/>
    <w:rsid w:val="00EC79A2"/>
    <w:rsid w:val="00ED00D2"/>
    <w:rsid w:val="00ED066A"/>
    <w:rsid w:val="00EE61D0"/>
    <w:rsid w:val="00EF1F4C"/>
    <w:rsid w:val="00F01824"/>
    <w:rsid w:val="00F07BAA"/>
    <w:rsid w:val="00F2178B"/>
    <w:rsid w:val="00F539A3"/>
    <w:rsid w:val="00F81C54"/>
    <w:rsid w:val="00F92390"/>
    <w:rsid w:val="00F924FD"/>
    <w:rsid w:val="00F9346E"/>
    <w:rsid w:val="00FA2C41"/>
    <w:rsid w:val="00FA3017"/>
    <w:rsid w:val="00FA5771"/>
    <w:rsid w:val="00FD02D3"/>
    <w:rsid w:val="00FD5644"/>
    <w:rsid w:val="00FE0631"/>
    <w:rsid w:val="00FF16C4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DB184"/>
  <w15:chartTrackingRefBased/>
  <w15:docId w15:val="{3C192583-58D2-4036-AF0D-617FD27C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14D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1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1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1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1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6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1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1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1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1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1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1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1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6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1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1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61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1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14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261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14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261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14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2614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2614D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251F50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D21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40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55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99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4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1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4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2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2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2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0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3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1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5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32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5214">
              <w:marLeft w:val="0"/>
              <w:marRight w:val="0"/>
              <w:marTop w:val="0"/>
              <w:marBottom w:val="0"/>
              <w:divBdr>
                <w:top w:val="single" w:sz="6" w:space="0" w:color="DCDADE"/>
                <w:left w:val="single" w:sz="6" w:space="0" w:color="DCDADE"/>
                <w:bottom w:val="single" w:sz="6" w:space="0" w:color="DCDADE"/>
                <w:right w:val="single" w:sz="6" w:space="0" w:color="DCDADE"/>
              </w:divBdr>
            </w:div>
            <w:div w:id="18049073">
              <w:marLeft w:val="0"/>
              <w:marRight w:val="0"/>
              <w:marTop w:val="0"/>
              <w:marBottom w:val="0"/>
              <w:divBdr>
                <w:top w:val="single" w:sz="6" w:space="0" w:color="DCDADE"/>
                <w:left w:val="single" w:sz="6" w:space="0" w:color="DCDADE"/>
                <w:bottom w:val="single" w:sz="6" w:space="0" w:color="DCDADE"/>
                <w:right w:val="single" w:sz="6" w:space="0" w:color="DCDADE"/>
              </w:divBdr>
            </w:div>
          </w:divsChild>
        </w:div>
        <w:div w:id="2089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7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7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3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55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1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5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6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8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5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0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9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54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5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7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94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11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4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59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50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to.trave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dellamonica@fst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oscana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to.travel/press-center/accredito-press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6415C-3EBA-4FB5-AC53-CB4F1753E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Biasiotti</dc:creator>
  <cp:keywords/>
  <dc:description/>
  <cp:lastModifiedBy>Roberto Biasiotti</cp:lastModifiedBy>
  <cp:revision>2</cp:revision>
  <dcterms:created xsi:type="dcterms:W3CDTF">2026-10-26T14:18:00Z</dcterms:created>
  <dcterms:modified xsi:type="dcterms:W3CDTF">2026-10-26T14:18:00Z</dcterms:modified>
</cp:coreProperties>
</file>